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Times New Roman" w:cs="Times New Roman" w:eastAsia="Times New Roman" w:hAnsi="Times New Roman"/>
          <w:b w:val="0"/>
          <w:bCs w:val="0"/>
          <w:i w:val="0"/>
          <w:iCs w:val="0"/>
          <w:smallCaps w:val="0"/>
          <w:strike w:val="0"/>
          <w:color w:val="000000"/>
          <w:sz w:val="2"/>
          <w:szCs w:val="2"/>
          <w:u w:val="none"/>
          <w:shd w:fill="auto" w:val="clear"/>
          <w:vertAlign w:val="baseline"/>
        </w:rPr>
      </w:pPr>
      <w:r w:rsidDel="00000000" w:rsidR="00000000" w:rsidRPr="00000000">
        <w:rPr>
          <w:rtl w:val="0"/>
        </w:rPr>
      </w:r>
    </w:p>
    <w:tbl>
      <w:tblPr>
        <w:tblStyle w:val="Table1"/>
        <w:tblW w:w="9809.0" w:type="dxa"/>
        <w:jc w:val="left"/>
        <w:tblInd w:w="261.0" w:type="dxa"/>
        <w:tblBorders>
          <w:top w:color="006ec0" w:space="0" w:sz="4" w:val="single"/>
          <w:left w:color="006ec0" w:space="0" w:sz="4" w:val="single"/>
          <w:bottom w:color="006ec0" w:space="0" w:sz="4" w:val="single"/>
          <w:right w:color="006ec0" w:space="0" w:sz="4" w:val="single"/>
          <w:insideH w:color="006ec0" w:space="0" w:sz="4" w:val="single"/>
          <w:insideV w:color="006ec0" w:space="0" w:sz="4" w:val="single"/>
        </w:tblBorders>
        <w:tblLayout w:type="fixed"/>
        <w:tblLook w:val="0000"/>
      </w:tblPr>
      <w:tblGrid>
        <w:gridCol w:w="2863"/>
        <w:gridCol w:w="6946"/>
        <w:tblGridChange w:id="0">
          <w:tblGrid>
            <w:gridCol w:w="2863"/>
            <w:gridCol w:w="6946"/>
          </w:tblGrid>
        </w:tblGridChange>
      </w:tblGrid>
      <w:tr>
        <w:trPr>
          <w:cantSplit w:val="0"/>
          <w:trHeight w:val="513" w:hRule="atLeast"/>
          <w:tblHeader w:val="0"/>
        </w:trPr>
        <w:tc>
          <w:tcPr>
            <w:vMerge w:val="restart"/>
          </w:tcPr>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1" w:before="81"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drawing>
                <wp:inline distB="0" distT="0" distL="0" distR="0">
                  <wp:extent cx="1619704" cy="889080"/>
                  <wp:effectExtent b="0" l="0" r="0" t="0"/>
                  <wp:docPr descr="Yeni Yüzyıl Üniversitesi Yabancı Öğrenci 2025" id="1" name="image1.png"/>
                  <a:graphic>
                    <a:graphicData uri="http://schemas.openxmlformats.org/drawingml/2006/picture">
                      <pic:pic>
                        <pic:nvPicPr>
                          <pic:cNvPr descr="Yeni Yüzyıl Üniversitesi Yabancı Öğrenci 2025" id="0" name="image1.png"/>
                          <pic:cNvPicPr preferRelativeResize="0"/>
                        </pic:nvPicPr>
                        <pic:blipFill>
                          <a:blip r:embed="rId7"/>
                          <a:srcRect b="0" l="0" r="0" t="0"/>
                          <a:stretch>
                            <a:fillRect/>
                          </a:stretch>
                        </pic:blipFill>
                        <pic:spPr>
                          <a:xfrm>
                            <a:off x="0" y="0"/>
                            <a:ext cx="1619704" cy="889080"/>
                          </a:xfrm>
                          <a:prstGeom prst="rect"/>
                          <a:ln/>
                        </pic:spPr>
                      </pic:pic>
                    </a:graphicData>
                  </a:graphic>
                </wp:inline>
              </w:drawing>
            </w:r>
            <w:r w:rsidDel="00000000" w:rsidR="00000000" w:rsidRPr="00000000">
              <w:rPr>
                <w:rtl w:val="0"/>
              </w:rPr>
            </w:r>
          </w:p>
        </w:tc>
        <w:tc>
          <w:tcPr>
            <w:tcBorders>
              <w:bottom w:color="000000" w:space="0" w:sz="0" w:val="nil"/>
            </w:tcBorders>
          </w:tcPr>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290" w:hRule="atLeast"/>
          <w:tblHeader w:val="0"/>
        </w:trPr>
        <w:tc>
          <w:tcPr>
            <w:vMerge w:val="continue"/>
          </w:tcPr>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68" w:lineRule="auto"/>
              <w:ind w:left="126" w:right="117"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İKTİSADİ VE İDARİ BİLİMLER</w:t>
            </w:r>
          </w:p>
        </w:tc>
      </w:tr>
      <w:tr>
        <w:trPr>
          <w:cantSplit w:val="0"/>
          <w:trHeight w:val="208" w:hRule="atLeast"/>
          <w:tblHeader w:val="0"/>
        </w:trPr>
        <w:tc>
          <w:tcPr>
            <w:vMerge w:val="continue"/>
          </w:tcPr>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89" w:lineRule="auto"/>
              <w:ind w:left="123" w:right="117"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FAKÜLTESİ</w:t>
            </w:r>
          </w:p>
        </w:tc>
      </w:tr>
      <w:tr>
        <w:trPr>
          <w:cantSplit w:val="0"/>
          <w:trHeight w:val="505" w:hRule="atLeast"/>
          <w:tblHeader w:val="0"/>
        </w:trPr>
        <w:tc>
          <w:tcPr>
            <w:vMerge w:val="continue"/>
          </w:tcPr>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92" w:lineRule="auto"/>
              <w:ind w:left="10" w:right="127"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SİYASET BİLİMİ VE ULUSLARARASI İLİŞKİLER BÖLÜMÜ</w:t>
            </w:r>
          </w:p>
        </w:tc>
      </w:tr>
      <w:tr>
        <w:trPr>
          <w:cantSplit w:val="0"/>
          <w:trHeight w:val="681" w:hRule="atLeast"/>
          <w:tblHeader w:val="0"/>
        </w:trPr>
        <w:tc>
          <w:tcPr>
            <w:vMerge w:val="continue"/>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0" w:val="nil"/>
              <w:bottom w:color="000000" w:space="0" w:sz="0" w:val="nil"/>
            </w:tcBorders>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 w:line="240"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6" w:right="117"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DIŞ PAYDAŞLAR KURULU</w:t>
            </w:r>
          </w:p>
        </w:tc>
      </w:tr>
      <w:tr>
        <w:trPr>
          <w:cantSplit w:val="0"/>
          <w:trHeight w:val="604" w:hRule="atLeast"/>
          <w:tblHeader w:val="0"/>
        </w:trPr>
        <w:tc>
          <w:tcPr>
            <w:vMerge w:val="continue"/>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0" w:val="nil"/>
            </w:tcBorders>
          </w:tcPr>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95" w:line="240" w:lineRule="auto"/>
              <w:ind w:left="127" w:right="117"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GÖREV TANIMI FORMU</w:t>
            </w:r>
          </w:p>
        </w:tc>
      </w:tr>
    </w:tbl>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2"/>
        <w:tblW w:w="9784.0" w:type="dxa"/>
        <w:jc w:val="left"/>
        <w:tblInd w:w="29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784"/>
        <w:tblGridChange w:id="0">
          <w:tblGrid>
            <w:gridCol w:w="9784"/>
          </w:tblGrid>
        </w:tblGridChange>
      </w:tblGrid>
      <w:tr>
        <w:trPr>
          <w:cantSplit w:val="0"/>
          <w:trHeight w:val="266" w:hRule="atLeast"/>
          <w:tblHeader w:val="0"/>
        </w:trPr>
        <w:tc>
          <w:tcPr/>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6" w:lineRule="auto"/>
              <w:ind w:left="115"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Görev</w:t>
            </w:r>
          </w:p>
        </w:tc>
      </w:tr>
      <w:tr>
        <w:trPr>
          <w:cantSplit w:val="0"/>
          <w:trHeight w:val="1401" w:hRule="atLeast"/>
          <w:tblHeader w:val="0"/>
        </w:trPr>
        <w:tc>
          <w:tcPr/>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6" w:line="249" w:lineRule="auto"/>
              <w:ind w:left="4"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Siyaset Bilimi ve Uluslararası İlişkiler Bölümü Dış Paydaşlar Kurulu, sektör temsilcileri, iş dünyası liderleri ve mezunlar gibi dış paydaşlarla işbirliği yaparak bölümün eğitim süreçlerini güçlendirmeyi hedefler. Bu kurul, iş gücü piyasası ihtiyaçları doğrultusunda müfredat geliştirilmesine katkı sağlar, öğrencilere staj ve kariyer fırsatları ile ilgili öneriler sunar, ayrıca akademik araştırmaların sektörle entegrasyonunu teşvik eder. Dış paydaşların geri bildirimleri doğrultusunda bölümün kalitesini sürekli olarak iyileştirmeyi amaçlar.</w:t>
            </w:r>
          </w:p>
        </w:tc>
      </w:tr>
      <w:tr>
        <w:trPr>
          <w:cantSplit w:val="0"/>
          <w:trHeight w:val="265" w:hRule="atLeast"/>
          <w:tblHeader w:val="0"/>
        </w:trPr>
        <w:tc>
          <w:tcPr/>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6" w:lineRule="auto"/>
              <w:ind w:left="115"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Üstü</w:t>
            </w:r>
          </w:p>
        </w:tc>
      </w:tr>
      <w:tr>
        <w:trPr>
          <w:cantSplit w:val="0"/>
          <w:trHeight w:val="265" w:hRule="atLeast"/>
          <w:tblHeader w:val="0"/>
        </w:trPr>
        <w:tc>
          <w:tcPr/>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6" w:lineRule="auto"/>
              <w:ind w:left="11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Bölüm Başkanı</w:t>
            </w:r>
          </w:p>
        </w:tc>
      </w:tr>
      <w:tr>
        <w:trPr>
          <w:cantSplit w:val="0"/>
          <w:trHeight w:val="268" w:hRule="atLeast"/>
          <w:tblHeader w:val="0"/>
        </w:trPr>
        <w:tc>
          <w:tcPr/>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8.00000000000006" w:lineRule="auto"/>
              <w:ind w:left="115"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Vekili</w:t>
            </w:r>
          </w:p>
        </w:tc>
      </w:tr>
      <w:tr>
        <w:trPr>
          <w:cantSplit w:val="0"/>
          <w:trHeight w:val="268" w:hRule="atLeast"/>
          <w:tblHeader w:val="0"/>
        </w:trPr>
        <w:tc>
          <w:tcPr/>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8.00000000000006" w:lineRule="auto"/>
              <w:ind w:left="11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t xml:space="preserve">Bölüm Başkan Yardımcısı</w:t>
            </w:r>
            <w:r w:rsidDel="00000000" w:rsidR="00000000" w:rsidRPr="00000000">
              <w:rPr>
                <w:rtl w:val="0"/>
              </w:rPr>
            </w:r>
          </w:p>
        </w:tc>
      </w:tr>
      <w:tr>
        <w:trPr>
          <w:cantSplit w:val="0"/>
          <w:trHeight w:val="268" w:hRule="atLeast"/>
          <w:tblHeader w:val="0"/>
        </w:trPr>
        <w:tc>
          <w:tcPr/>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8.00000000000006" w:lineRule="auto"/>
              <w:ind w:left="115"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Nitelikler</w:t>
            </w:r>
          </w:p>
        </w:tc>
      </w:tr>
      <w:tr>
        <w:trPr>
          <w:cantSplit w:val="0"/>
          <w:trHeight w:val="561" w:hRule="atLeast"/>
          <w:tblHeader w:val="0"/>
        </w:trPr>
        <w:tc>
          <w:tcPr/>
          <w:p w:rsidR="00000000" w:rsidDel="00000000" w:rsidP="00000000" w:rsidRDefault="00000000" w:rsidRPr="00000000" w14:paraId="00000019">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834"/>
              </w:tabs>
              <w:spacing w:after="0" w:before="4" w:line="272" w:lineRule="auto"/>
              <w:ind w:left="834"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İlgili mevzuata hakim olmak.</w:t>
            </w:r>
          </w:p>
          <w:p w:rsidR="00000000" w:rsidDel="00000000" w:rsidP="00000000" w:rsidRDefault="00000000" w:rsidRPr="00000000" w14:paraId="0000001A">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tabs>
                <w:tab w:val="left" w:leader="none" w:pos="834"/>
              </w:tabs>
              <w:spacing w:after="0" w:before="0" w:line="265" w:lineRule="auto"/>
              <w:ind w:left="834"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Alanı ile ilgili akademik ve sektörel gelişmelere hakim olmak.</w:t>
            </w:r>
          </w:p>
        </w:tc>
      </w:tr>
      <w:tr>
        <w:trPr>
          <w:cantSplit w:val="0"/>
          <w:trHeight w:val="268" w:hRule="atLeast"/>
          <w:tblHeader w:val="0"/>
        </w:trPr>
        <w:tc>
          <w:tcPr/>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9" w:lineRule="auto"/>
              <w:ind w:left="115"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İlgili Mevzuat</w:t>
            </w:r>
          </w:p>
        </w:tc>
      </w:tr>
      <w:tr>
        <w:trPr>
          <w:cantSplit w:val="0"/>
          <w:trHeight w:val="537" w:hRule="atLeast"/>
          <w:tblHeader w:val="0"/>
        </w:trPr>
        <w:tc>
          <w:tcPr/>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56" w:lineRule="auto"/>
              <w:ind w:left="47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t>
            </w:r>
          </w:p>
        </w:tc>
      </w:tr>
      <w:tr>
        <w:trPr>
          <w:cantSplit w:val="0"/>
          <w:trHeight w:val="268" w:hRule="atLeast"/>
          <w:tblHeader w:val="0"/>
        </w:trPr>
        <w:tc>
          <w:tcPr/>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8.00000000000006" w:lineRule="auto"/>
              <w:ind w:left="115"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Görev ve Sorumluluklar</w:t>
            </w:r>
          </w:p>
        </w:tc>
      </w:tr>
      <w:tr>
        <w:trPr>
          <w:cantSplit w:val="0"/>
          <w:trHeight w:val="1247" w:hRule="atLeast"/>
          <w:tblHeader w:val="0"/>
        </w:trPr>
        <w:tc>
          <w:tcPr/>
          <w:p w:rsidR="00000000" w:rsidDel="00000000" w:rsidP="00000000" w:rsidRDefault="00000000" w:rsidRPr="00000000" w14:paraId="0000001E">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834"/>
              </w:tabs>
              <w:spacing w:after="0" w:before="0" w:line="280" w:lineRule="auto"/>
              <w:ind w:left="834"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Eğitim-öğretim süreçleri hakkında görüş bildirmek.</w:t>
            </w:r>
          </w:p>
          <w:p w:rsidR="00000000" w:rsidDel="00000000" w:rsidP="00000000" w:rsidRDefault="00000000" w:rsidRPr="00000000" w14:paraId="0000001F">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834"/>
              </w:tabs>
              <w:spacing w:after="0" w:before="3" w:line="279" w:lineRule="auto"/>
              <w:ind w:left="834"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Kalite güvence sistemine dair öneriler geliştirmek.</w:t>
            </w:r>
          </w:p>
          <w:p w:rsidR="00000000" w:rsidDel="00000000" w:rsidP="00000000" w:rsidRDefault="00000000" w:rsidRPr="00000000" w14:paraId="00000020">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834"/>
              </w:tabs>
              <w:spacing w:after="0" w:before="0" w:line="249" w:lineRule="auto"/>
              <w:ind w:left="834" w:right="909"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Öğrencilerin mezuniyet sonrası dönemde iş hayatına uyum sağlamasını kolaylaştırmak için geliştirilecek uygulamalarla ilgili öneriler sunmak.</w:t>
            </w:r>
          </w:p>
        </w:tc>
      </w:tr>
      <w:tr>
        <w:trPr>
          <w:cantSplit w:val="0"/>
          <w:trHeight w:val="268" w:hRule="atLeast"/>
          <w:tblHeader w:val="0"/>
        </w:trPr>
        <w:tc>
          <w:tcPr/>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8.00000000000006" w:lineRule="auto"/>
              <w:ind w:left="115"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KYS Kapsamında Görev ve Sorumluluklar</w:t>
            </w:r>
          </w:p>
        </w:tc>
      </w:tr>
      <w:tr>
        <w:trPr>
          <w:cantSplit w:val="0"/>
          <w:trHeight w:val="2755" w:hRule="atLeast"/>
          <w:tblHeader w:val="0"/>
        </w:trPr>
        <w:tc>
          <w:tcPr/>
          <w:p w:rsidR="00000000" w:rsidDel="00000000" w:rsidP="00000000" w:rsidRDefault="00000000" w:rsidRPr="00000000" w14:paraId="00000022">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834"/>
              </w:tabs>
              <w:spacing w:after="0" w:before="0" w:line="244" w:lineRule="auto"/>
              <w:ind w:left="834" w:right="142"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Üniversitenin Misyonunu, Vizyonunu, Kalite Politikasını benimsemek, bu doğrultuda hareket etmek ve biriminde bu doğrultuda hareket edilmesini sağlamak,</w:t>
            </w:r>
          </w:p>
          <w:p w:rsidR="00000000" w:rsidDel="00000000" w:rsidP="00000000" w:rsidRDefault="00000000" w:rsidRPr="00000000" w14:paraId="00000023">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834"/>
              </w:tabs>
              <w:spacing w:after="0" w:before="1" w:line="237" w:lineRule="auto"/>
              <w:ind w:left="834" w:right="343"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Birim kalite hedeflerini belirlemek ve ulaşılması için üzerine düşen çalışmaları yapmak, KYS çalışmaları kapsamında yapılan faaliyetlere birimi adına katkı sağlamak.</w:t>
            </w:r>
          </w:p>
          <w:p w:rsidR="00000000" w:rsidDel="00000000" w:rsidP="00000000" w:rsidRDefault="00000000" w:rsidRPr="00000000" w14:paraId="00000024">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834"/>
              </w:tabs>
              <w:spacing w:after="0" w:before="2" w:line="240" w:lineRule="auto"/>
              <w:ind w:left="834" w:right="288"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Faaliyetlerini yürütürken İstanbul Yeni Yüzyıl Üniversitesi KYS dokümanlarına uygun hareket edilmesini ve kayıtlara yönelik ilgili koordinasyonu sağlamak,</w:t>
            </w:r>
          </w:p>
          <w:p w:rsidR="00000000" w:rsidDel="00000000" w:rsidP="00000000" w:rsidRDefault="00000000" w:rsidRPr="00000000" w14:paraId="00000025">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834"/>
              </w:tabs>
              <w:spacing w:after="0" w:before="1" w:line="244" w:lineRule="auto"/>
              <w:ind w:left="834" w:right="138" w:hanging="360"/>
              <w:jc w:val="both"/>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KYS kapsamında biriminde yapılacak düzeltici ve önleyici faaliyetlerin yerine getirilmesine katkı sağlamak,</w:t>
            </w:r>
          </w:p>
          <w:p w:rsidR="00000000" w:rsidDel="00000000" w:rsidP="00000000" w:rsidRDefault="00000000" w:rsidRPr="00000000" w14:paraId="00000026">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834"/>
              </w:tabs>
              <w:spacing w:after="0" w:before="0" w:line="267" w:lineRule="auto"/>
              <w:ind w:left="834"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Yaptığı işle ilgili iyileştirme önerilerini Kalite Koordinatörlüğü ile paylaşmak,</w:t>
            </w:r>
          </w:p>
          <w:p w:rsidR="00000000" w:rsidDel="00000000" w:rsidP="00000000" w:rsidRDefault="00000000" w:rsidRPr="00000000" w14:paraId="00000027">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834"/>
              </w:tabs>
              <w:spacing w:after="0" w:before="0" w:line="253" w:lineRule="auto"/>
              <w:ind w:left="834"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KYS çalışmaları kapsamında yapılan faaliyetlere birimi adına katkı sağlamak.</w:t>
            </w:r>
          </w:p>
        </w:tc>
      </w:tr>
      <w:tr>
        <w:trPr>
          <w:cantSplit w:val="0"/>
          <w:trHeight w:val="282" w:hRule="atLeast"/>
          <w:tblHeader w:val="0"/>
        </w:trPr>
        <w:tc>
          <w:tcPr/>
          <w:p w:rsidR="00000000" w:rsidDel="00000000" w:rsidP="00000000" w:rsidRDefault="00000000" w:rsidRPr="00000000" w14:paraId="00000028">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tabs>
                <w:tab w:val="left" w:leader="none" w:pos="834"/>
              </w:tabs>
              <w:spacing w:after="0" w:before="0" w:line="263.00000000000006" w:lineRule="auto"/>
              <w:ind w:left="834" w:right="0" w:hanging="36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Yetkiler</w:t>
            </w:r>
          </w:p>
        </w:tc>
      </w:tr>
      <w:tr>
        <w:trPr>
          <w:cantSplit w:val="0"/>
          <w:trHeight w:val="278" w:hRule="atLeast"/>
          <w:tblHeader w:val="0"/>
        </w:trPr>
        <w:tc>
          <w:tcPr/>
          <w:p w:rsidR="00000000" w:rsidDel="00000000" w:rsidP="00000000" w:rsidRDefault="00000000" w:rsidRPr="00000000" w14:paraId="00000029">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575"/>
              </w:tabs>
              <w:spacing w:after="0" w:before="0" w:line="255" w:lineRule="auto"/>
              <w:ind w:left="575" w:right="0" w:hanging="101.00000000000001"/>
              <w:jc w:val="left"/>
              <w:rPr>
                <w:rFonts w:ascii="Noto Sans Symbols" w:cs="Noto Sans Symbols" w:eastAsia="Noto Sans Symbols" w:hAnsi="Noto Sans Symbols"/>
                <w:b w:val="0"/>
                <w:bCs w:val="0"/>
                <w:i w:val="0"/>
                <w:iCs w:val="0"/>
                <w:smallCaps w:val="0"/>
                <w:strike w:val="0"/>
                <w:color w:val="000000"/>
                <w:sz w:val="22"/>
                <w:szCs w:val="22"/>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2"/>
                <w:szCs w:val="22"/>
                <w:u w:val="none"/>
                <w:shd w:fill="auto" w:val="clear"/>
                <w:vertAlign w:val="baseline"/>
                <w:rtl w:val="0"/>
              </w:rPr>
              <w:t xml:space="preserve">​</w:t>
            </w:r>
          </w:p>
        </w:tc>
      </w:tr>
    </w:tbl>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8"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273"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sectPr>
      <w:pgSz w:h="16850" w:w="11920" w:orient="portrait"/>
      <w:pgMar w:bottom="280" w:top="660" w:left="1275" w:right="283"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577" w:hanging="102.99999999999994"/>
      </w:pPr>
      <w:rPr>
        <w:rFonts w:ascii="Noto Sans Symbols" w:cs="Noto Sans Symbols" w:eastAsia="Noto Sans Symbols" w:hAnsi="Noto Sans Symbols"/>
        <w:b w:val="0"/>
        <w:bCs w:val="0"/>
        <w:i w:val="0"/>
        <w:iCs w:val="0"/>
        <w:sz w:val="20"/>
        <w:szCs w:val="20"/>
      </w:rPr>
    </w:lvl>
    <w:lvl w:ilvl="1">
      <w:start w:val="0"/>
      <w:numFmt w:val="bullet"/>
      <w:lvlText w:val="•"/>
      <w:lvlJc w:val="left"/>
      <w:pPr>
        <w:ind w:left="1499" w:hanging="103"/>
      </w:pPr>
      <w:rPr/>
    </w:lvl>
    <w:lvl w:ilvl="2">
      <w:start w:val="0"/>
      <w:numFmt w:val="bullet"/>
      <w:lvlText w:val="•"/>
      <w:lvlJc w:val="left"/>
      <w:pPr>
        <w:ind w:left="2418" w:hanging="103"/>
      </w:pPr>
      <w:rPr/>
    </w:lvl>
    <w:lvl w:ilvl="3">
      <w:start w:val="0"/>
      <w:numFmt w:val="bullet"/>
      <w:lvlText w:val="•"/>
      <w:lvlJc w:val="left"/>
      <w:pPr>
        <w:ind w:left="3338" w:hanging="103"/>
      </w:pPr>
      <w:rPr/>
    </w:lvl>
    <w:lvl w:ilvl="4">
      <w:start w:val="0"/>
      <w:numFmt w:val="bullet"/>
      <w:lvlText w:val="•"/>
      <w:lvlJc w:val="left"/>
      <w:pPr>
        <w:ind w:left="4257" w:hanging="103"/>
      </w:pPr>
      <w:rPr/>
    </w:lvl>
    <w:lvl w:ilvl="5">
      <w:start w:val="0"/>
      <w:numFmt w:val="bullet"/>
      <w:lvlText w:val="•"/>
      <w:lvlJc w:val="left"/>
      <w:pPr>
        <w:ind w:left="5177" w:hanging="103"/>
      </w:pPr>
      <w:rPr/>
    </w:lvl>
    <w:lvl w:ilvl="6">
      <w:start w:val="0"/>
      <w:numFmt w:val="bullet"/>
      <w:lvlText w:val="•"/>
      <w:lvlJc w:val="left"/>
      <w:pPr>
        <w:ind w:left="6096" w:hanging="102.99999999999909"/>
      </w:pPr>
      <w:rPr/>
    </w:lvl>
    <w:lvl w:ilvl="7">
      <w:start w:val="0"/>
      <w:numFmt w:val="bullet"/>
      <w:lvlText w:val="•"/>
      <w:lvlJc w:val="left"/>
      <w:pPr>
        <w:ind w:left="7015" w:hanging="103"/>
      </w:pPr>
      <w:rPr/>
    </w:lvl>
    <w:lvl w:ilvl="8">
      <w:start w:val="0"/>
      <w:numFmt w:val="bullet"/>
      <w:lvlText w:val="•"/>
      <w:lvlJc w:val="left"/>
      <w:pPr>
        <w:ind w:left="7935" w:hanging="103"/>
      </w:pPr>
      <w:rPr/>
    </w:lvl>
  </w:abstractNum>
  <w:abstractNum w:abstractNumId="2">
    <w:lvl w:ilvl="0">
      <w:start w:val="0"/>
      <w:numFmt w:val="bullet"/>
      <w:lvlText w:val="●"/>
      <w:lvlJc w:val="left"/>
      <w:pPr>
        <w:ind w:left="834" w:hanging="359.99999999999994"/>
      </w:pPr>
      <w:rPr>
        <w:rFonts w:ascii="Noto Sans Symbols" w:cs="Noto Sans Symbols" w:eastAsia="Noto Sans Symbols" w:hAnsi="Noto Sans Symbols"/>
        <w:b w:val="0"/>
        <w:bCs w:val="0"/>
        <w:i w:val="0"/>
        <w:iCs w:val="0"/>
        <w:sz w:val="22"/>
        <w:szCs w:val="22"/>
      </w:rPr>
    </w:lvl>
    <w:lvl w:ilvl="1">
      <w:start w:val="0"/>
      <w:numFmt w:val="bullet"/>
      <w:lvlText w:val="•"/>
      <w:lvlJc w:val="left"/>
      <w:pPr>
        <w:ind w:left="1733" w:hanging="360"/>
      </w:pPr>
      <w:rPr/>
    </w:lvl>
    <w:lvl w:ilvl="2">
      <w:start w:val="0"/>
      <w:numFmt w:val="bullet"/>
      <w:lvlText w:val="•"/>
      <w:lvlJc w:val="left"/>
      <w:pPr>
        <w:ind w:left="2626" w:hanging="360"/>
      </w:pPr>
      <w:rPr/>
    </w:lvl>
    <w:lvl w:ilvl="3">
      <w:start w:val="0"/>
      <w:numFmt w:val="bullet"/>
      <w:lvlText w:val="•"/>
      <w:lvlJc w:val="left"/>
      <w:pPr>
        <w:ind w:left="3520" w:hanging="360"/>
      </w:pPr>
      <w:rPr/>
    </w:lvl>
    <w:lvl w:ilvl="4">
      <w:start w:val="0"/>
      <w:numFmt w:val="bullet"/>
      <w:lvlText w:val="•"/>
      <w:lvlJc w:val="left"/>
      <w:pPr>
        <w:ind w:left="4413" w:hanging="360"/>
      </w:pPr>
      <w:rPr/>
    </w:lvl>
    <w:lvl w:ilvl="5">
      <w:start w:val="0"/>
      <w:numFmt w:val="bullet"/>
      <w:lvlText w:val="•"/>
      <w:lvlJc w:val="left"/>
      <w:pPr>
        <w:ind w:left="5307" w:hanging="360"/>
      </w:pPr>
      <w:rPr/>
    </w:lvl>
    <w:lvl w:ilvl="6">
      <w:start w:val="0"/>
      <w:numFmt w:val="bullet"/>
      <w:lvlText w:val="•"/>
      <w:lvlJc w:val="left"/>
      <w:pPr>
        <w:ind w:left="6200" w:hanging="360"/>
      </w:pPr>
      <w:rPr/>
    </w:lvl>
    <w:lvl w:ilvl="7">
      <w:start w:val="0"/>
      <w:numFmt w:val="bullet"/>
      <w:lvlText w:val="•"/>
      <w:lvlJc w:val="left"/>
      <w:pPr>
        <w:ind w:left="7093" w:hanging="360"/>
      </w:pPr>
      <w:rPr/>
    </w:lvl>
    <w:lvl w:ilvl="8">
      <w:start w:val="0"/>
      <w:numFmt w:val="bullet"/>
      <w:lvlText w:val="•"/>
      <w:lvlJc w:val="left"/>
      <w:pPr>
        <w:ind w:left="7987" w:hanging="360"/>
      </w:pPr>
      <w:rPr/>
    </w:lvl>
  </w:abstractNum>
  <w:abstractNum w:abstractNumId="3">
    <w:lvl w:ilvl="0">
      <w:start w:val="0"/>
      <w:numFmt w:val="bullet"/>
      <w:lvlText w:val="●"/>
      <w:lvlJc w:val="left"/>
      <w:pPr>
        <w:ind w:left="834" w:hanging="359.99999999999994"/>
      </w:pPr>
      <w:rPr>
        <w:rFonts w:ascii="Noto Sans Symbols" w:cs="Noto Sans Symbols" w:eastAsia="Noto Sans Symbols" w:hAnsi="Noto Sans Symbols"/>
        <w:b w:val="0"/>
        <w:bCs w:val="0"/>
        <w:i w:val="0"/>
        <w:iCs w:val="0"/>
        <w:sz w:val="22"/>
        <w:szCs w:val="22"/>
      </w:rPr>
    </w:lvl>
    <w:lvl w:ilvl="1">
      <w:start w:val="0"/>
      <w:numFmt w:val="bullet"/>
      <w:lvlText w:val="•"/>
      <w:lvlJc w:val="left"/>
      <w:pPr>
        <w:ind w:left="1733" w:hanging="360"/>
      </w:pPr>
      <w:rPr/>
    </w:lvl>
    <w:lvl w:ilvl="2">
      <w:start w:val="0"/>
      <w:numFmt w:val="bullet"/>
      <w:lvlText w:val="•"/>
      <w:lvlJc w:val="left"/>
      <w:pPr>
        <w:ind w:left="2626" w:hanging="360"/>
      </w:pPr>
      <w:rPr/>
    </w:lvl>
    <w:lvl w:ilvl="3">
      <w:start w:val="0"/>
      <w:numFmt w:val="bullet"/>
      <w:lvlText w:val="•"/>
      <w:lvlJc w:val="left"/>
      <w:pPr>
        <w:ind w:left="3520" w:hanging="360"/>
      </w:pPr>
      <w:rPr/>
    </w:lvl>
    <w:lvl w:ilvl="4">
      <w:start w:val="0"/>
      <w:numFmt w:val="bullet"/>
      <w:lvlText w:val="•"/>
      <w:lvlJc w:val="left"/>
      <w:pPr>
        <w:ind w:left="4413" w:hanging="360"/>
      </w:pPr>
      <w:rPr/>
    </w:lvl>
    <w:lvl w:ilvl="5">
      <w:start w:val="0"/>
      <w:numFmt w:val="bullet"/>
      <w:lvlText w:val="•"/>
      <w:lvlJc w:val="left"/>
      <w:pPr>
        <w:ind w:left="5307" w:hanging="360"/>
      </w:pPr>
      <w:rPr/>
    </w:lvl>
    <w:lvl w:ilvl="6">
      <w:start w:val="0"/>
      <w:numFmt w:val="bullet"/>
      <w:lvlText w:val="•"/>
      <w:lvlJc w:val="left"/>
      <w:pPr>
        <w:ind w:left="6200" w:hanging="360"/>
      </w:pPr>
      <w:rPr/>
    </w:lvl>
    <w:lvl w:ilvl="7">
      <w:start w:val="0"/>
      <w:numFmt w:val="bullet"/>
      <w:lvlText w:val="•"/>
      <w:lvlJc w:val="left"/>
      <w:pPr>
        <w:ind w:left="7093" w:hanging="360"/>
      </w:pPr>
      <w:rPr/>
    </w:lvl>
    <w:lvl w:ilvl="8">
      <w:start w:val="0"/>
      <w:numFmt w:val="bullet"/>
      <w:lvlText w:val="•"/>
      <w:lvlJc w:val="left"/>
      <w:pPr>
        <w:ind w:left="7987" w:hanging="360"/>
      </w:pPr>
      <w:rPr/>
    </w:lvl>
  </w:abstractNum>
  <w:abstractNum w:abstractNumId="4">
    <w:lvl w:ilvl="0">
      <w:start w:val="0"/>
      <w:numFmt w:val="bullet"/>
      <w:lvlText w:val="●"/>
      <w:lvlJc w:val="left"/>
      <w:pPr>
        <w:ind w:left="834" w:hanging="359.99999999999994"/>
      </w:pPr>
      <w:rPr>
        <w:rFonts w:ascii="Noto Sans Symbols" w:cs="Noto Sans Symbols" w:eastAsia="Noto Sans Symbols" w:hAnsi="Noto Sans Symbols"/>
        <w:b w:val="0"/>
        <w:bCs w:val="0"/>
        <w:i w:val="0"/>
        <w:iCs w:val="0"/>
        <w:sz w:val="22"/>
        <w:szCs w:val="22"/>
      </w:rPr>
    </w:lvl>
    <w:lvl w:ilvl="1">
      <w:start w:val="0"/>
      <w:numFmt w:val="bullet"/>
      <w:lvlText w:val="•"/>
      <w:lvlJc w:val="left"/>
      <w:pPr>
        <w:ind w:left="1733" w:hanging="360"/>
      </w:pPr>
      <w:rPr/>
    </w:lvl>
    <w:lvl w:ilvl="2">
      <w:start w:val="0"/>
      <w:numFmt w:val="bullet"/>
      <w:lvlText w:val="•"/>
      <w:lvlJc w:val="left"/>
      <w:pPr>
        <w:ind w:left="2626" w:hanging="360"/>
      </w:pPr>
      <w:rPr/>
    </w:lvl>
    <w:lvl w:ilvl="3">
      <w:start w:val="0"/>
      <w:numFmt w:val="bullet"/>
      <w:lvlText w:val="•"/>
      <w:lvlJc w:val="left"/>
      <w:pPr>
        <w:ind w:left="3520" w:hanging="360"/>
      </w:pPr>
      <w:rPr/>
    </w:lvl>
    <w:lvl w:ilvl="4">
      <w:start w:val="0"/>
      <w:numFmt w:val="bullet"/>
      <w:lvlText w:val="•"/>
      <w:lvlJc w:val="left"/>
      <w:pPr>
        <w:ind w:left="4413" w:hanging="360"/>
      </w:pPr>
      <w:rPr/>
    </w:lvl>
    <w:lvl w:ilvl="5">
      <w:start w:val="0"/>
      <w:numFmt w:val="bullet"/>
      <w:lvlText w:val="•"/>
      <w:lvlJc w:val="left"/>
      <w:pPr>
        <w:ind w:left="5307" w:hanging="360"/>
      </w:pPr>
      <w:rPr/>
    </w:lvl>
    <w:lvl w:ilvl="6">
      <w:start w:val="0"/>
      <w:numFmt w:val="bullet"/>
      <w:lvlText w:val="•"/>
      <w:lvlJc w:val="left"/>
      <w:pPr>
        <w:ind w:left="6200" w:hanging="360"/>
      </w:pPr>
      <w:rPr/>
    </w:lvl>
    <w:lvl w:ilvl="7">
      <w:start w:val="0"/>
      <w:numFmt w:val="bullet"/>
      <w:lvlText w:val="•"/>
      <w:lvlJc w:val="left"/>
      <w:pPr>
        <w:ind w:left="7093" w:hanging="360"/>
      </w:pPr>
      <w:rPr/>
    </w:lvl>
    <w:lvl w:ilvl="8">
      <w:start w:val="0"/>
      <w:numFmt w:val="bullet"/>
      <w:lvlText w:val="•"/>
      <w:lvlJc w:val="left"/>
      <w:pPr>
        <w:ind w:left="7987" w:hanging="360"/>
      </w:pPr>
      <w:rPr/>
    </w:lvl>
  </w:abstractNum>
  <w:abstractNum w:abstractNumId="5">
    <w:lvl w:ilvl="0">
      <w:start w:val="0"/>
      <w:numFmt w:val="bullet"/>
      <w:lvlText w:val="●"/>
      <w:lvlJc w:val="left"/>
      <w:pPr>
        <w:ind w:left="834" w:hanging="359.99999999999994"/>
      </w:pPr>
      <w:rPr>
        <w:rFonts w:ascii="Noto Sans Symbols" w:cs="Noto Sans Symbols" w:eastAsia="Noto Sans Symbols" w:hAnsi="Noto Sans Symbols"/>
        <w:b w:val="0"/>
        <w:bCs w:val="0"/>
        <w:i w:val="0"/>
        <w:iCs w:val="0"/>
        <w:sz w:val="22"/>
        <w:szCs w:val="22"/>
      </w:rPr>
    </w:lvl>
    <w:lvl w:ilvl="1">
      <w:start w:val="0"/>
      <w:numFmt w:val="bullet"/>
      <w:lvlText w:val="•"/>
      <w:lvlJc w:val="left"/>
      <w:pPr>
        <w:ind w:left="1733" w:hanging="360"/>
      </w:pPr>
      <w:rPr/>
    </w:lvl>
    <w:lvl w:ilvl="2">
      <w:start w:val="0"/>
      <w:numFmt w:val="bullet"/>
      <w:lvlText w:val="•"/>
      <w:lvlJc w:val="left"/>
      <w:pPr>
        <w:ind w:left="2626" w:hanging="360"/>
      </w:pPr>
      <w:rPr/>
    </w:lvl>
    <w:lvl w:ilvl="3">
      <w:start w:val="0"/>
      <w:numFmt w:val="bullet"/>
      <w:lvlText w:val="•"/>
      <w:lvlJc w:val="left"/>
      <w:pPr>
        <w:ind w:left="3520" w:hanging="360"/>
      </w:pPr>
      <w:rPr/>
    </w:lvl>
    <w:lvl w:ilvl="4">
      <w:start w:val="0"/>
      <w:numFmt w:val="bullet"/>
      <w:lvlText w:val="•"/>
      <w:lvlJc w:val="left"/>
      <w:pPr>
        <w:ind w:left="4413" w:hanging="360"/>
      </w:pPr>
      <w:rPr/>
    </w:lvl>
    <w:lvl w:ilvl="5">
      <w:start w:val="0"/>
      <w:numFmt w:val="bullet"/>
      <w:lvlText w:val="•"/>
      <w:lvlJc w:val="left"/>
      <w:pPr>
        <w:ind w:left="5307" w:hanging="360"/>
      </w:pPr>
      <w:rPr/>
    </w:lvl>
    <w:lvl w:ilvl="6">
      <w:start w:val="0"/>
      <w:numFmt w:val="bullet"/>
      <w:lvlText w:val="•"/>
      <w:lvlJc w:val="left"/>
      <w:pPr>
        <w:ind w:left="6200" w:hanging="360"/>
      </w:pPr>
      <w:rPr/>
    </w:lvl>
    <w:lvl w:ilvl="7">
      <w:start w:val="0"/>
      <w:numFmt w:val="bullet"/>
      <w:lvlText w:val="•"/>
      <w:lvlJc w:val="left"/>
      <w:pPr>
        <w:ind w:left="7093" w:hanging="360"/>
      </w:pPr>
      <w:rPr/>
    </w:lvl>
    <w:lvl w:ilvl="8">
      <w:start w:val="0"/>
      <w:numFmt w:val="bullet"/>
      <w:lvlText w:val="•"/>
      <w:lvlJc w:val="left"/>
      <w:pPr>
        <w:ind w:left="7987" w:hanging="360"/>
      </w:pPr>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tr"/>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q9NHz6mcKs7FnVimj7lXN2H2NKw==">CgMxLjA4AHIhMWlxd0ktNWpIMnN0X3pHYWFfemRoclVDNWNrUjBPSEUw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lpwstr>2025-04-30T00:00:00Z</vt:lpwstr>
  </property>
  <property fmtid="{D5CDD505-2E9C-101B-9397-08002B2CF9AE}" pid="4" name="Creator">
    <vt:lpwstr>Microsoft® Word 2019</vt:lpwstr>
  </property>
  <property fmtid="{D5CDD505-2E9C-101B-9397-08002B2CF9AE}" pid="5" name="LastSaved">
    <vt:lpwstr>2026-04-15T00:00:00Z</vt:lpwstr>
  </property>
  <property fmtid="{D5CDD505-2E9C-101B-9397-08002B2CF9AE}" pid="6" name="Producer">
    <vt:lpwstr>Microsoft® Word 2019</vt:lpwstr>
  </property>
  <property fmtid="{D5CDD505-2E9C-101B-9397-08002B2CF9AE}" pid="7" name="GrammarlyDocumentId">
    <vt:lpwstr>83ad0996-1f36-4518-9da1-d6cdf87ddf63</vt:lpwstr>
  </property>
</Properties>
</file>